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text" w:horzAnchor="text" w:tblpX="1" w:tblpY="53"/>
        <w:tblW w:w="5994.0" w:type="dxa"/>
        <w:jc w:val="left"/>
        <w:tblLayout w:type="fixed"/>
        <w:tblLook w:val="0400"/>
      </w:tblPr>
      <w:tblGrid>
        <w:gridCol w:w="1936"/>
        <w:gridCol w:w="214"/>
        <w:gridCol w:w="2042"/>
        <w:gridCol w:w="1802"/>
        <w:tblGridChange w:id="0">
          <w:tblGrid>
            <w:gridCol w:w="1936"/>
            <w:gridCol w:w="214"/>
            <w:gridCol w:w="2042"/>
            <w:gridCol w:w="1802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Специфікації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Акумулятор гелевий Anern AN-GEL12-200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Номінальна напруга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Ємність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92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 годин (10,8 В)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7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5HR (10,5 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ind w:left="1325" w:hanging="29.000000000000057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 200Ач 175Ач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ind w:left="77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 година (9,60 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124Ач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Вимір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92" w:lineRule="auto"/>
              <w:ind w:left="40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Довжина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89" w:lineRule="auto"/>
              <w:ind w:left="461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Ширина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42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Зріст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after="70" w:lineRule="auto"/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522±2 мм (20,6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8" w:lineRule="auto"/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238±2 мм (9,37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221±2 мм (8,66 дюйма)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79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Загальна висота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70" w:lineRule="auto"/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F5: 238±2 мм (9,37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T10: 221±2 мм (8,70 дюйма)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Приблизна вага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57,3 кг±4%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Тип терміналу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F5/T10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Внутрішній опір (повністю заряджений, 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35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2,7 мОм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385" w:lineRule="auto"/>
              <w:ind w:left="240" w:right="755" w:hanging="73.99999999999999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На ємність впливає температура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46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(10 год.)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after="73" w:lineRule="auto"/>
              <w:ind w:left="305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40°C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76" w:lineRule="auto"/>
              <w:ind w:left="305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25°C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79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0°C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89" w:lineRule="auto"/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102%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92" w:lineRule="auto"/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100%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ind w:left="25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-15°C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Саморозряд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1"/>
                <w:szCs w:val="11"/>
                <w:rtl w:val="0"/>
              </w:rPr>
              <w:t xml:space="preserve">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92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місяц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місяц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92" w:lineRule="auto"/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Місткість, що залишилася: 91%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right="38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Місткість, що залишилася: 82%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місяц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ind w:right="38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Місткість, що залишилася: 65%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Номінальна робоча температура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 °C±3 °C (77 °F±5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108" w:right="697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Діапазон робочих температур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after="92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Розряд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175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Заряджання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after="77" w:lineRule="auto"/>
              <w:ind w:left="8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-15 °C ~ 50 °C (5 °F ~ 122 °F)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-10 °C ~ 50 °C (14 °F ~ 122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ind w:left="14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Зберігання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-20 °C ~ 50 °C (-4 °F ~ 122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Поплавкова напруга зарядки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1"/>
                <w:szCs w:val="11"/>
                <w:rtl w:val="0"/>
              </w:rPr>
              <w:t xml:space="preserve">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ind w:right="35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Від 13,50 до 13,80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мпераційна компенсація: -18 мВ/</w:t>
            </w:r>
            <w:r w:rsidDel="00000000" w:rsidR="00000000" w:rsidRPr="00000000">
              <w:rPr>
                <w:rFonts w:ascii="SimSun" w:cs="SimSun" w:eastAsia="SimSun" w:hAnsi="SimSun"/>
                <w:color w:val="000000"/>
                <w:sz w:val="15"/>
                <w:szCs w:val="15"/>
                <w:rtl w:val="0"/>
              </w:rPr>
              <w:t xml:space="preserve">°C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Напруга циклічної зарядки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ind w:right="35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Від 14,40 до 14,70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мпературна компенсація: -30 мВ/</w:t>
            </w:r>
            <w:r w:rsidDel="00000000" w:rsidR="00000000" w:rsidRPr="00000000">
              <w:rPr>
                <w:rFonts w:ascii="SimSun" w:cs="SimSun" w:eastAsia="SimSun" w:hAnsi="SimSun"/>
                <w:color w:val="000000"/>
                <w:sz w:val="15"/>
                <w:szCs w:val="15"/>
                <w:rtl w:val="0"/>
              </w:rPr>
              <w:t xml:space="preserve">°C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Максимальний струм зарядки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60А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Матеріал терміналу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Мідь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Максимальний струм розряду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ind w:right="36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1600A(5 сек.)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ind w:left="108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Розрахунковий термін служби (20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ind w:right="37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Років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spacing w:after="129" w:lineRule="auto"/>
        <w:jc w:val="center"/>
        <w:rPr/>
      </w:pPr>
      <w:r w:rsidDel="00000000" w:rsidR="00000000" w:rsidRPr="00000000">
        <w:rPr>
          <w:rtl w:val="0"/>
        </w:rPr>
        <w:t xml:space="preserve">Термінал      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84" w:lineRule="auto"/>
        <w:ind w:left="19" w:right="223" w:firstLine="0"/>
        <w:jc w:val="right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3800475</wp:posOffset>
            </wp:positionH>
            <wp:positionV relativeFrom="paragraph">
              <wp:posOffset>95036</wp:posOffset>
            </wp:positionV>
            <wp:extent cx="2537460" cy="1423035"/>
            <wp:effectExtent b="0" l="0" r="0" t="0"/>
            <wp:wrapTopAndBottom distB="0" distT="0"/>
            <wp:docPr id="445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4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spacing w:after="0" w:lineRule="auto"/>
        <w:ind w:left="19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3800475</wp:posOffset>
            </wp:positionH>
            <wp:positionV relativeFrom="paragraph">
              <wp:posOffset>133350</wp:posOffset>
            </wp:positionV>
            <wp:extent cx="2695575" cy="2256603"/>
            <wp:effectExtent b="0" l="0" r="0" t="0"/>
            <wp:wrapNone/>
            <wp:docPr id="4452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566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667.0" w:type="dxa"/>
        <w:jc w:val="left"/>
        <w:tblLayout w:type="fixed"/>
        <w:tblLook w:val="0400"/>
      </w:tblPr>
      <w:tblGrid>
        <w:gridCol w:w="1129"/>
        <w:gridCol w:w="790"/>
        <w:gridCol w:w="792"/>
        <w:gridCol w:w="786"/>
        <w:gridCol w:w="791"/>
        <w:gridCol w:w="873"/>
        <w:gridCol w:w="790"/>
        <w:gridCol w:w="786"/>
        <w:gridCol w:w="789"/>
        <w:gridCol w:w="780"/>
        <w:gridCol w:w="744"/>
        <w:gridCol w:w="617"/>
        <w:tblGridChange w:id="0">
          <w:tblGrid>
            <w:gridCol w:w="1129"/>
            <w:gridCol w:w="790"/>
            <w:gridCol w:w="792"/>
            <w:gridCol w:w="786"/>
            <w:gridCol w:w="791"/>
            <w:gridCol w:w="873"/>
            <w:gridCol w:w="790"/>
            <w:gridCol w:w="786"/>
            <w:gridCol w:w="789"/>
            <w:gridCol w:w="780"/>
            <w:gridCol w:w="744"/>
            <w:gridCol w:w="617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ind w:left="144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Характеристики розряду постійного струму (А, 25°C)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2178167</wp:posOffset>
                  </wp:positionV>
                  <wp:extent cx="2695575" cy="2289058"/>
                  <wp:effectExtent b="0" l="0" r="0" t="0"/>
                  <wp:wrapNone/>
                  <wp:docPr id="445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2890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ind w:left="152" w:firstLine="0"/>
              <w:rPr/>
            </w:pPr>
            <w:r w:rsidDel="00000000" w:rsidR="00000000" w:rsidRPr="00000000">
              <w:rPr>
                <w:rtl w:val="0"/>
              </w:rPr>
              <w:t xml:space="preserve">F.V/ЧАС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10 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15хв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30хв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60хв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90хв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2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3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ind w:left="58" w:firstLine="0"/>
              <w:rPr/>
            </w:pPr>
            <w:r w:rsidDel="00000000" w:rsidR="00000000" w:rsidRPr="00000000">
              <w:rPr>
                <w:rtl w:val="0"/>
              </w:rPr>
              <w:t xml:space="preserve">5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8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10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20 год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9,60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420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330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200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124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92.0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73.1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51.0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35.7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24.5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20.4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10.69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9,90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407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322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196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122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91.4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72.6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50.7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35.5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24.3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20.3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10.67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10,2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391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310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190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119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90.6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72.0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50.4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35.2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24.2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20.3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10.64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10,5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374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300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185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117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89.2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70.9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50.0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35.0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24.0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20.1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10.57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10,8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353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284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179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113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88.3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69.1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48.5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34.0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23.3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20.0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10.50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ind w:left="72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Характеристики розряду постійної потужності (Вт, 25°C)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ind w:left="152" w:firstLine="0"/>
              <w:rPr/>
            </w:pPr>
            <w:r w:rsidDel="00000000" w:rsidR="00000000" w:rsidRPr="00000000">
              <w:rPr>
                <w:rtl w:val="0"/>
              </w:rPr>
              <w:t xml:space="preserve">F.V/ЧАС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10 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15хв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30хв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60хв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90хв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2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3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ind w:left="58" w:firstLine="0"/>
              <w:rPr/>
            </w:pPr>
            <w:r w:rsidDel="00000000" w:rsidR="00000000" w:rsidRPr="00000000">
              <w:rPr>
                <w:rtl w:val="0"/>
              </w:rPr>
              <w:t xml:space="preserve">5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8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10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20 год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9,60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4536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B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3623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2244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1414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1049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846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600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1">
            <w:pPr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422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291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243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128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5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9,90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4400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3536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8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2199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1392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A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1042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841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596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419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289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243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128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10,2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4218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3406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4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2132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1357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6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1033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7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834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592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9">
            <w:pPr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417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287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B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242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128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10,5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4037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F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3290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2080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1330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2">
            <w:pPr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1017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821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4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588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5">
            <w:pPr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414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285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7">
            <w:pPr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240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8">
            <w:pPr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127  </w:t>
            </w:r>
          </w:p>
        </w:tc>
      </w:tr>
    </w:tbl>
    <w:p w:rsidR="00000000" w:rsidDel="00000000" w:rsidP="00000000" w:rsidRDefault="00000000" w:rsidRPr="00000000" w14:paraId="00000109">
      <w:pPr>
        <w:tabs>
          <w:tab w:val="center" w:leader="none" w:pos="485"/>
          <w:tab w:val="center" w:leader="none" w:pos="1362"/>
          <w:tab w:val="center" w:leader="none" w:pos="2153"/>
          <w:tab w:val="center" w:leader="none" w:pos="2944"/>
          <w:tab w:val="center" w:leader="none" w:pos="3733"/>
          <w:tab w:val="center" w:leader="none" w:pos="4523"/>
          <w:tab w:val="center" w:leader="none" w:pos="5316"/>
          <w:tab w:val="center" w:leader="none" w:pos="6109"/>
          <w:tab w:val="center" w:leader="none" w:pos="6898"/>
          <w:tab w:val="center" w:leader="none" w:pos="7688"/>
          <w:tab w:val="center" w:leader="none" w:pos="8480"/>
          <w:tab w:val="center" w:leader="none" w:pos="9272"/>
        </w:tabs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10.8V </w:t>
        <w:tab/>
        <w:t xml:space="preserve">3810  </w:t>
        <w:tab/>
        <w:t xml:space="preserve">3116  </w:t>
        <w:tab/>
        <w:t xml:space="preserve">2004  </w:t>
        <w:tab/>
        <w:t xml:space="preserve">1289  </w:t>
        <w:tab/>
        <w:t xml:space="preserve">1007  </w:t>
        <w:tab/>
        <w:t xml:space="preserve">800  </w:t>
        <w:tab/>
        <w:t xml:space="preserve">570  </w:t>
        <w:tab/>
        <w:t xml:space="preserve">401  </w:t>
        <w:tab/>
        <w:t xml:space="preserve">277  </w:t>
        <w:tab/>
        <w:t xml:space="preserve">239  </w:t>
        <w:tab/>
        <w:t xml:space="preserve">126  </w:t>
      </w:r>
    </w:p>
    <w:p w:rsidR="00000000" w:rsidDel="00000000" w:rsidP="00000000" w:rsidRDefault="00000000" w:rsidRPr="00000000" w14:paraId="0000010A">
      <w:pPr>
        <w:spacing w:after="58" w:lineRule="auto"/>
        <w:ind w:left="-5" w:firstLine="0"/>
        <w:rPr/>
      </w:pPr>
      <w:r w:rsidDel="00000000" w:rsidR="00000000" w:rsidRPr="00000000">
        <w:rPr>
          <w:rtl w:val="0"/>
        </w:rPr>
        <w:t xml:space="preserve">Примітка: Наведені вище дані про характеристики можна отримати протягом трьох циклів заряду/розряду.  </w:t>
      </w:r>
    </w:p>
    <w:p w:rsidR="00000000" w:rsidDel="00000000" w:rsidP="00000000" w:rsidRDefault="00000000" w:rsidRPr="00000000" w14:paraId="0000010B">
      <w:pPr>
        <w:spacing w:after="0" w:lineRule="auto"/>
        <w:rPr/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spacing w:after="39" w:lineRule="auto"/>
        <w:ind w:left="-5" w:firstLine="19"/>
        <w:rPr/>
      </w:pPr>
      <w:r w:rsidDel="00000000" w:rsidR="00000000" w:rsidRPr="00000000">
        <w:rPr>
          <w:rtl w:val="0"/>
        </w:rPr>
        <w:t xml:space="preserve">Додатки, загальні характеристики, стандарти                  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Системи сигналізації та безпеки Технологія очищення сітки та більш товста технологія абсорбуючого скляного мату 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spacing w:after="0" w:line="368" w:lineRule="auto"/>
        <w:ind w:left="720" w:hanging="420"/>
        <w:rPr/>
      </w:pPr>
      <w:r w:rsidDel="00000000" w:rsidR="00000000" w:rsidRPr="00000000">
        <w:rPr>
          <w:rtl w:val="0"/>
        </w:rPr>
        <w:t xml:space="preserve">Пластини аварійного освітлення використовуються для продовження терміну служби акумулятора, визнаного UL &amp; CE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⚫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  <w:t xml:space="preserve">Ups і Eps, і зменшення швидкості корозії пластинчастої сітки контейнера ABS. 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Залізничний сигнал з використанням технології кисневої рекомбінації: 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Повітряний кафта сигналізатор не потребує обслуговування 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Джерело живлення постійного струму Унікальна конструкція вентиляційного клапана: контроль втрати води, 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Сонячні енергетичні системи запобігають потраплянню повітря та іскор всередину 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99" w:lineRule="auto"/>
        <w:ind w:left="720" w:hanging="420"/>
        <w:rPr/>
      </w:pPr>
      <w:r w:rsidDel="00000000" w:rsidR="00000000" w:rsidRPr="00000000">
        <w:rPr>
          <w:rtl w:val="0"/>
        </w:rPr>
        <w:t xml:space="preserve">Вітроенергетичні системи 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after="99" w:lineRule="auto"/>
        <w:ind w:left="720" w:hanging="420"/>
        <w:rPr>
          <w:u w:val="none"/>
        </w:rPr>
      </w:pPr>
      <w:r w:rsidDel="00000000" w:rsidR="00000000" w:rsidRPr="00000000">
        <w:rPr>
          <w:rtl w:val="0"/>
        </w:rPr>
        <w:t xml:space="preserve">Гелева батарея містить свинцево-кислотний електроліт з гелеобразуючим агентом для підвищення безпеки та довговічності.</w:t>
      </w:r>
    </w:p>
    <w:p w:rsidR="00000000" w:rsidDel="00000000" w:rsidP="00000000" w:rsidRDefault="00000000" w:rsidRPr="00000000" w14:paraId="00000115">
      <w:pPr>
        <w:spacing w:after="0" w:lineRule="auto"/>
        <w:ind w:left="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center" w:leader="none" w:pos="485"/>
          <w:tab w:val="center" w:leader="none" w:pos="1362"/>
          <w:tab w:val="center" w:leader="none" w:pos="2151"/>
          <w:tab w:val="center" w:leader="none" w:pos="2944"/>
          <w:tab w:val="center" w:leader="none" w:pos="3733"/>
          <w:tab w:val="center" w:leader="none" w:pos="4523"/>
          <w:tab w:val="center" w:leader="none" w:pos="5316"/>
          <w:tab w:val="center" w:leader="none" w:pos="6109"/>
          <w:tab w:val="center" w:leader="none" w:pos="6898"/>
          <w:tab w:val="center" w:leader="none" w:pos="7688"/>
          <w:tab w:val="center" w:leader="none" w:pos="8480"/>
          <w:tab w:val="center" w:leader="none" w:pos="9272"/>
        </w:tabs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lineRule="auto"/>
        <w:ind w:left="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SimSu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45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2275" y="3167600"/>
                        <a:ext cx="6067425" cy="987500"/>
                        <a:chOff x="2312275" y="3167600"/>
                        <a:chExt cx="6067450" cy="901775"/>
                      </a:xfrm>
                    </wpg:grpSpPr>
                    <wpg:grpSp>
                      <wpg:cNvGrpSpPr/>
                      <wpg:grpSpPr>
                        <a:xfrm>
                          <a:off x="2312288" y="3517428"/>
                          <a:ext cx="6067425" cy="551938"/>
                          <a:chOff x="0" y="0"/>
                          <a:chExt cx="6067425" cy="5519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67425" cy="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888109" y="271463"/>
                            <a:ext cx="3116390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232275" y="271463"/>
                            <a:ext cx="63341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4f81bd"/>
                                  <w:sz w:val="3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525145"/>
                            <a:ext cx="6067425" cy="0"/>
                          </a:xfrm>
                          <a:custGeom>
                            <a:rect b="b" l="l" r="r" t="t"/>
                            <a:pathLst>
                              <a:path extrusionOk="0" h="120000" w="6067425">
                                <a:moveTo>
                                  <a:pt x="0" y="0"/>
                                </a:moveTo>
                                <a:lnTo>
                                  <a:pt x="6067425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  <pic:pic>
                      <pic:nvPicPr>
                        <pic:cNvPr id="7" name="Shape 7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7550" y="3167621"/>
                          <a:ext cx="2462175" cy="84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45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98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1"/>
      <w:szCs w:val="21"/>
      <w:u w:val="none"/>
      <w:shd w:fill="6ecefe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next w:val="a"/>
    <w:link w:val="10"/>
    <w:uiPriority w:val="9"/>
    <w:qFormat w:val="1"/>
    <w:rsid w:val="00951CC6"/>
    <w:pPr>
      <w:keepNext w:val="1"/>
      <w:keepLines w:val="1"/>
      <w:spacing w:after="0"/>
      <w:ind w:left="29" w:hanging="10"/>
      <w:outlineLvl w:val="0"/>
    </w:pPr>
    <w:rPr>
      <w:rFonts w:ascii="Times New Roman" w:cs="Times New Roman" w:eastAsia="Times New Roman" w:hAnsi="Times New Roman"/>
      <w:b w:val="1"/>
      <w:color w:val="000000"/>
      <w:sz w:val="21"/>
      <w:shd w:color="auto" w:fill="6ecefe" w:val="clear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rsid w:val="00951CC6"/>
    <w:pPr>
      <w:spacing w:after="0" w:line="240" w:lineRule="auto"/>
    </w:pPr>
    <w:rPr>
      <w:rFonts w:eastAsiaTheme="minorEastAsia"/>
      <w:lang w:eastAsia="uk-U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951CC6"/>
    <w:rPr>
      <w:rFonts w:ascii="Times New Roman" w:cs="Times New Roman" w:eastAsia="Times New Roman" w:hAnsi="Times New Roman"/>
      <w:b w:val="1"/>
      <w:color w:val="000000"/>
      <w:sz w:val="21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6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4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DbIGfb+c3u6Xeh2j218hShn6Q==">CgMxLjAyCGguZ2pkZ3hzOAByITFHTW93bXRJMldIU2YxTVhZR1BFN0Z4MzVDOFpwN2pjRg==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2024-07-02T13:36:00Z</dcterms:created>
  <dc:creator>Жижко Олексій</dc:creator>
</cp:coreProperties>
</file>